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fill="FFFFFF"/>
        <w:spacing w:before="0" w:after="0"/>
        <w:ind w:firstLine="426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</w:r>
    </w:p>
    <w:p>
      <w:pPr>
        <w:pStyle w:val="NormalWeb"/>
        <w:shd w:val="clear" w:fill="FFFFFF"/>
        <w:spacing w:lineRule="auto" w:line="252" w:before="0" w:after="0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Криворізька філія ТОВ «Газорозподільні мережі України» (далі - Філія) повідомляє, що</w:t>
      </w:r>
      <w:r>
        <w:rPr>
          <w:b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на виконання Правил безпеки систем газопостачання, ст.19 Закону України «Про житлово-комунальні послуги», Порядку технічного обслуговування внутрішньобудинкових систем газопостачання у багатоквартирному будинку та Типового договору на технічне обслуговування внутрішньобудинкових систем газопостачання багатоквартирних будинків, з 01.03.2024 Філія проводить роботи з технічного обслуговування внутрішньобудинкових систем газопостачання багатоквартирних будинків. Надаємо інформацію стосовно графіка проведення технічного обслуговування </w:t>
      </w:r>
      <w:r>
        <w:rPr>
          <w:b/>
          <w:bCs/>
          <w:sz w:val="28"/>
          <w:szCs w:val="28"/>
          <w:u w:val="single"/>
          <w:lang w:val="uk-UA" w:eastAsia="uk-UA"/>
        </w:rPr>
        <w:t xml:space="preserve"> </w:t>
      </w:r>
      <w:r>
        <w:rPr>
          <w:b/>
          <w:bCs/>
          <w:sz w:val="28"/>
          <w:szCs w:val="28"/>
          <w:u w:val="single"/>
          <w:lang w:val="uk-UA" w:eastAsia="uk-UA"/>
        </w:rPr>
        <w:t>в</w:t>
      </w:r>
      <w:r>
        <w:rPr>
          <w:b/>
          <w:bCs/>
          <w:sz w:val="28"/>
          <w:szCs w:val="28"/>
          <w:u w:val="single"/>
          <w:lang w:val="uk-UA" w:eastAsia="uk-UA"/>
        </w:rPr>
        <w:t xml:space="preserve"> жовтн</w:t>
      </w:r>
      <w:r>
        <w:rPr>
          <w:b/>
          <w:bCs/>
          <w:sz w:val="28"/>
          <w:szCs w:val="28"/>
          <w:u w:val="single"/>
          <w:lang w:val="uk-UA" w:eastAsia="uk-UA"/>
        </w:rPr>
        <w:t>і</w:t>
      </w:r>
      <w:r>
        <w:rPr>
          <w:b/>
          <w:bCs/>
          <w:sz w:val="28"/>
          <w:szCs w:val="28"/>
          <w:u w:val="single"/>
          <w:lang w:val="uk-UA" w:eastAsia="uk-UA"/>
        </w:rPr>
        <w:t xml:space="preserve"> 2026 року</w:t>
      </w:r>
    </w:p>
    <w:tbl>
      <w:tblPr>
        <w:tblpPr w:vertAnchor="text" w:horzAnchor="text" w:leftFromText="180" w:rightFromText="180" w:tblpX="0" w:tblpY="1"/>
        <w:tblOverlap w:val="never"/>
        <w:tblW w:w="156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884"/>
        <w:gridCol w:w="3565"/>
        <w:gridCol w:w="735"/>
        <w:gridCol w:w="3118"/>
        <w:gridCol w:w="1499"/>
        <w:gridCol w:w="2445"/>
        <w:gridCol w:w="1669"/>
      </w:tblGrid>
      <w:tr>
        <w:trPr>
          <w:trHeight w:val="322" w:hRule="exact"/>
        </w:trPr>
        <w:tc>
          <w:tcPr>
            <w:tcW w:w="15598" w:type="dxa"/>
            <w:gridSpan w:val="8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r>
          </w:p>
        </w:tc>
      </w:tr>
      <w:tr>
        <w:trPr>
          <w:trHeight w:val="2475" w:hRule="atLeast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з/п</w:t>
            </w:r>
          </w:p>
        </w:tc>
        <w:tc>
          <w:tcPr>
            <w:tcW w:w="18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Район</w:t>
            </w:r>
          </w:p>
        </w:tc>
        <w:tc>
          <w:tcPr>
            <w:tcW w:w="3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Адреса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буд.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Балансова належність/управитель будинку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/>
              </w:rPr>
              <w:t>Дата проведення ТО</w:t>
            </w:r>
          </w:p>
        </w:tc>
        <w:tc>
          <w:tcPr>
            <w:tcW w:w="2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ПІБ відповідальної особи за проведення ТО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</w:rPr>
              <w:t>Контактний телефон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Гданцівська (10-річча Жовтня)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val="uk-UA" w:eastAsia="ru-RU"/>
              </w:rPr>
              <w:t>2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Гданцівська (10-річча Жовтня)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Широківська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Церковна (Калінвченка)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Церковна (Калінвченка)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Церковна (Калінвченка)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ОСББ «Граніт 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Єдності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7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Юрія Сича (Аненка)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Юрія Сича (Аненка)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Юрія Сича (Аненка)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ЖБК «Центральний»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Олександра Поля (Жовтнева)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488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color w:val="000000"/>
                <w:sz w:val="24"/>
                <w:szCs w:val="24"/>
              </w:rPr>
              <w:t>вул. Олександра Поля (Жовтнева)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sz w:val="24"/>
                <w:szCs w:val="24"/>
              </w:rPr>
              <w:t>07.10.2026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color w:val="000000"/>
                <w:sz w:val="24"/>
                <w:szCs w:val="24"/>
              </w:rPr>
              <w:t>вул. Олександра Поля (Жовтнева)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«Дивобуд»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sz w:val="24"/>
                <w:szCs w:val="24"/>
              </w:rPr>
              <w:t>08.10.2026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color w:val="000000"/>
                <w:sz w:val="24"/>
                <w:szCs w:val="24"/>
              </w:rPr>
              <w:t>вул. Олександра Поля (Жовтнева)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08.10.2026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Олександра Поля (Жовтнева)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08.10.2026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Наливайка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12.10.2026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Переяславська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12.10.2026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Савицького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12.10.2026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Савицького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color w:val="000000"/>
                <w:sz w:val="24"/>
                <w:szCs w:val="24"/>
                <w:lang w:val="en-US"/>
              </w:rPr>
              <w:t>ТОВ «Сітісервіс-КР»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13.10.2026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  <w:tr>
        <w:trPr>
          <w:trHeight w:val="300" w:hRule="atLeast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88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 w:val="false"/>
                <w:iCs w:val="false"/>
                <w:color w:val="000000"/>
                <w:sz w:val="24"/>
                <w:szCs w:val="24"/>
                <w:lang w:val="uk-UA"/>
              </w:rPr>
              <w:t>Центрально-Міський</w:t>
            </w: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вул. Савицького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Style18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ОСББ «Українська 55»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 w:val="false"/>
                <w:sz w:val="24"/>
                <w:szCs w:val="24"/>
              </w:rPr>
              <w:t>13.10.2026</w:t>
            </w:r>
          </w:p>
        </w:tc>
        <w:tc>
          <w:tcPr>
            <w:tcW w:w="244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майстер Биндич Тетяна</w:t>
            </w:r>
          </w:p>
        </w:tc>
        <w:tc>
          <w:tcPr>
            <w:tcW w:w="166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063-416-18-95</w:t>
            </w:r>
          </w:p>
        </w:tc>
      </w:tr>
    </w:tbl>
    <w:p>
      <w:pPr>
        <w:pStyle w:val="Normal"/>
        <w:spacing w:lineRule="auto" w:line="240" w:before="0" w:after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orient="landscape" w:w="16838" w:h="11906"/>
      <w:pgMar w:left="567" w:right="426" w:gutter="0" w:header="0" w:top="567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2" w:before="0" w:after="160"/>
      <w:jc w:val="left"/>
    </w:pPr>
    <w:rPr>
      <w:rFonts w:ascii="Calibri" w:hAnsi="Calibri" w:eastAsia="Calibri" w:cs="Tahoma"/>
      <w:color w:val="auto"/>
      <w:kern w:val="2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link w:val="BalloonText"/>
    <w:qFormat/>
    <w:rPr>
      <w:rFonts w:ascii="Segoe UI" w:hAnsi="Segoe UI" w:cs="Segoe UI"/>
      <w:kern w:val="2"/>
      <w:sz w:val="18"/>
      <w:szCs w:val="18"/>
      <w:lang w:val="uk-UA"/>
    </w:rPr>
  </w:style>
  <w:style w:type="character" w:styleId="InternetLink">
    <w:name w:val="Internet Link"/>
    <w:basedOn w:val="DefaultParagraphFont"/>
    <w:qFormat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xl63">
    <w:name w:val="xl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:lang w:val="ru-RU" w:eastAsia="ru-RU"/>
    </w:rPr>
  </w:style>
  <w:style w:type="paragraph" w:styleId="xl64">
    <w:name w:val="xl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val="ru-RU" w:eastAsia="ru-RU"/>
    </w:rPr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val="ru-RU" w:eastAsia="ru-RU"/>
    </w:rPr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71">
    <w:name w:val="xl71"/>
    <w:basedOn w:val="Normal"/>
    <w:qFormat/>
    <w:pPr>
      <w:spacing w:lineRule="auto" w:line="240" w:before="280" w:after="280"/>
      <w:jc w:val="center"/>
    </w:pPr>
    <w:rPr>
      <w:rFonts w:ascii="Times New Roman" w:hAnsi="Times New Roman" w:eastAsia="Times New Roman" w:cs="Times New Roman"/>
      <w:b/>
      <w:bCs/>
      <w:kern w:val="0"/>
      <w:sz w:val="28"/>
      <w:szCs w:val="28"/>
      <w:lang w:val="ru-RU" w:eastAsia="ru-RU"/>
    </w:rPr>
  </w:style>
  <w:style w:type="paragraph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73">
    <w:name w:val="xl73"/>
    <w:basedOn w:val="Normal"/>
    <w:qFormat/>
    <w:pPr>
      <w:spacing w:lineRule="auto" w:line="240" w:before="280" w:after="280"/>
      <w:jc w:val="center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val="ru-RU" w:eastAsia="ru-RU"/>
    </w:rPr>
  </w:style>
  <w:style w:type="paragraph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1">
    <w:name w:val="xl81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2">
    <w:name w:val="xl8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3">
    <w:name w:val="xl83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5">
    <w:name w:val="xl85"/>
    <w:basedOn w:val="Normal"/>
    <w:qFormat/>
    <w:pPr>
      <w:pBdr>
        <w:left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7">
    <w:name w:val="xl8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xl88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89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90">
    <w:name w:val="xl90"/>
    <w:basedOn w:val="Normal"/>
    <w:qFormat/>
    <w:pP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:lang w:val="ru-RU" w:eastAsia="ru-RU"/>
    </w:rPr>
  </w:style>
  <w:style w:type="paragraph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/>
    </w:rPr>
  </w:style>
  <w:style w:type="paragraph" w:styleId="Style17">
    <w:name w:val="Вміст рамки"/>
    <w:basedOn w:val="Normal"/>
    <w:qFormat/>
    <w:pPr/>
    <w:rPr/>
  </w:style>
  <w:style w:type="paragraph" w:styleId="Style18">
    <w:name w:val="Вміст таблиці"/>
    <w:basedOn w:val="Normal"/>
    <w:qFormat/>
    <w:pPr>
      <w:widowControl w:val="false"/>
      <w:suppressLineNumbers/>
    </w:pPr>
    <w:rPr/>
  </w:style>
  <w:style w:type="paragraph" w:styleId="Style19">
    <w:name w:val="Заголовок таблиці"/>
    <w:basedOn w:val="Style18"/>
    <w:qFormat/>
    <w:pPr>
      <w:suppressLineNumbers/>
      <w:jc w:val="center"/>
    </w:pPr>
    <w:rPr>
      <w:b/>
      <w:bCs/>
    </w:rPr>
  </w:style>
  <w:style w:type="numbering" w:styleId="Style20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Application>LibreOffice/24.8.2.1$Windows_X86_64 LibreOffice_project/0f794b6e29741098670a3b95d60478a65d05ef13</Application>
  <AppVersion>15.0000</AppVersion>
  <Pages>2</Pages>
  <Words>352</Words>
  <Characters>2712</Characters>
  <CharactersWithSpaces>2896</CharactersWithSpaces>
  <Paragraphs>169</Paragraphs>
  <Company>krgas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2025-03-05T11:37:00Z</dcterms:created>
  <dc:creator>Биндич Тетяна Володимирівна</dc:creator>
  <dc:description/>
  <dc:language>uk-UA</dc:language>
  <cp:lastModifiedBy/>
  <cp:lastPrinted>2024-06-24T07:26:00Z</cp:lastPrinted>
  <dcterms:modified xsi:type="dcterms:W3CDTF">2026-09-16T13:21:52Z</dcterms:modified>
  <cp:revision>152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