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fill="FFFFFF"/>
        <w:spacing w:before="0" w:after="0"/>
        <w:ind w:firstLine="426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</w:r>
    </w:p>
    <w:p>
      <w:pPr>
        <w:pStyle w:val="NormalWeb"/>
        <w:shd w:val="clear" w:fill="FFFFFF"/>
        <w:spacing w:lineRule="auto" w:line="252" w:before="0" w:after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Криворізька філія ТОВ «Газорозподільні мережі України» (далі - Філія) повідомляє, що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виконання Правил безпеки систем газопостачання, ст.19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 та Типового договору на технічне обслуговування внутрішньобудинкових систем газопостачання багатоквартирних будинків, з 01.03.2024 Філія проводить роботи з технічного обслуговування внутрішньобудинкових систем газопостачання багатоквартирних будинків. Надаємо інформацію стосовно графіка проведення технічного обслуговування </w:t>
      </w:r>
      <w:r>
        <w:rPr>
          <w:b/>
          <w:bCs/>
          <w:sz w:val="28"/>
          <w:szCs w:val="28"/>
          <w:u w:val="single"/>
          <w:lang w:val="uk-UA" w:eastAsia="uk-UA"/>
        </w:rPr>
        <w:t>у квітні 2026 року</w:t>
      </w:r>
    </w:p>
    <w:tbl>
      <w:tblPr>
        <w:tblpPr w:vertAnchor="text" w:horzAnchor="text" w:leftFromText="180" w:rightFromText="180" w:tblpX="0" w:tblpY="1"/>
        <w:tblOverlap w:val="never"/>
        <w:tblW w:w="156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6"/>
        <w:gridCol w:w="3674"/>
        <w:gridCol w:w="761"/>
        <w:gridCol w:w="2927"/>
        <w:gridCol w:w="1560"/>
        <w:gridCol w:w="2337"/>
        <w:gridCol w:w="1774"/>
      </w:tblGrid>
      <w:tr>
        <w:trPr>
          <w:trHeight w:val="322" w:hRule="exact"/>
        </w:trPr>
        <w:tc>
          <w:tcPr>
            <w:tcW w:w="15693" w:type="dxa"/>
            <w:gridSpan w:val="8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r>
          </w:p>
        </w:tc>
      </w:tr>
      <w:tr>
        <w:trPr>
          <w:trHeight w:val="247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Адреса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буд.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Балансова належність/управитель будинку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Дата проведення ТО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ПІБ відповідальної особи за проведення ТО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Контактний телефон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Сергія Параджанова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«Послуга КМР»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Сергія Параджанова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«Діалог-32»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Сергія Параджанова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«Ніко-34»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Військове містечко-33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«Послуга КМР»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Військове містечко-33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«Послуга КМР»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100»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«Восток-7»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106»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110»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112»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«Схід-8»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«Восток-9»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120»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72А»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86»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96»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АТО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«Героїв АТО 98»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Магістральна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«Послуга КМР»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val="uk-UA" w:eastAsia="ru-RU"/>
              </w:rPr>
              <w:t>19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Бахчисарайська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«Ентузіаст»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Героїв полку «Азов»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 Захисників України (Визволення)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 Захисників України (Визволення)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683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val="en-US" w:eastAsia="ru-RU"/>
              </w:rPr>
              <w:t>65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Військове містечко-35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Вахи Арсанова (Рокоссовського)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«Свтісервіс-КР»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Гетьманська 1МАА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52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Гетьманська 3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Флагман КР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/>
              </w:rPr>
              <w:t>82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 (Іллічівська)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Іллі Гайдука (Демиденка)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Іллі Гайдука (Демиденка)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Демиденка 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Іллі Гайдука (Демиденка)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Іллі Гайдука (Демиденка)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Іллі Гайдука (Демиденка)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Липнева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Липнева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Липнева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Липнева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"Липнева, 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Українського Відродження (Станіславського)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Українського Відродження (Станіславського)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Українського Відродження (Станіславського)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Харківська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105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Шахтарської слави (Дзержинського)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106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Шахтарської слави (Дзержинського)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eastAsia="ru-RU"/>
              </w:rPr>
              <w:t>107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Шахтарської слави (Дзержинського)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Героїв Крут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Героїв Крут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«Гарагт Центробуд»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«Д. Войчишена-2»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«Гарагт Центробуд»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«Д. Войчишена-7»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Дмитра Войчишена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«Д. Войчишена-9»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«Новосибірська-10»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499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Добровольців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Лаштоби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Лаштоби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eastAsia="ru-RU"/>
              </w:rPr>
              <w:t>141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Лаштоби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144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Байди Вишневецького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Гірницький-7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Рассвет-43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Гірницький-13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Рассвет-42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мкрн.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старший майстер Юлія Месевра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Леона Штріпельмана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Леона Штріпельмана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Кирило-Мефодіївська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Кирило-Мефодіївська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Кирило-Мефодіївська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Кирило-Мефодіївська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Бориса Грінченка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Віктора Оцерклевича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ОК ЖБК «Рассвет-37»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Віктора Оцерклевича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ОК ЖБК «Жовтень-12»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ОК ЖБК «Жовтень-11»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«Зарічний-20»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ЖБК «Жовтень-9»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«Зарічний-21»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ЖБК «Жовтень-10»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227-го автомобільного батальону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ОК ЖБК «Молодіжний»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«Заріччя, 34»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«КР 5 Заречний 36»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7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23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567" w:right="426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Calibri" w:cs="Tahoma"/>
      <w:color w:val="auto"/>
      <w:kern w:val="2"/>
      <w:sz w:val="22"/>
      <w:szCs w:val="22"/>
      <w:lang w:val="uk-UA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у виносці Знак"/>
    <w:basedOn w:val="DefaultParagraphFont"/>
    <w:link w:val="BalloonText"/>
    <w:qFormat/>
    <w:rPr>
      <w:rFonts w:ascii="Segoe UI" w:hAnsi="Segoe UI" w:cs="Segoe UI"/>
      <w:kern w:val="2"/>
      <w:sz w:val="18"/>
      <w:szCs w:val="18"/>
      <w:lang w:val="uk-UA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1">
    <w:name w:val="xl71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kern w:val="0"/>
      <w:sz w:val="28"/>
      <w:szCs w:val="28"/>
      <w:lang w:val="ru-RU" w:eastAsia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3">
    <w:name w:val="xl73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2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3">
    <w:name w:val="xl83"/>
    <w:basedOn w:val="Normal"/>
    <w:qFormat/>
    <w:pPr>
      <w:pBdr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7">
    <w:name w:val="xl8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0">
    <w:name w:val="xl90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Style17">
    <w:name w:val="Вміст рамки"/>
    <w:basedOn w:val="Normal"/>
    <w:qFormat/>
    <w:pPr/>
    <w:rPr/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>
    <w:name w:val="Без маркерів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Application>LibreOffice/24.8.2.1$Windows_X86_64 LibreOffice_project/0f794b6e29741098670a3b95d60478a65d05ef13</Application>
  <AppVersion>15.0000</AppVersion>
  <Pages>13</Pages>
  <Words>2911</Words>
  <Characters>21968</Characters>
  <CharactersWithSpaces>24958</CharactersWithSpaces>
  <Paragraphs>1769</Paragraphs>
  <Company>krgas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Биндич Тетяна Володимирівна</dc:creator>
  <dc:description/>
  <dc:language>uk-UA</dc:language>
  <cp:lastModifiedBy/>
  <cp:lastPrinted>2024-06-24T07:26:00Z</cp:lastPrinted>
  <dcterms:modified xsi:type="dcterms:W3CDTF">2026-03-24T09:30:24Z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